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86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927"/>
      </w:tblGrid>
      <w:tr w:rsidR="008B6B8D" w:rsidRPr="00F06D16" w:rsidTr="008B6B8D">
        <w:tc>
          <w:tcPr>
            <w:tcW w:w="549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B6B8D" w:rsidRPr="00C15C8D" w:rsidRDefault="008B6B8D" w:rsidP="008B6B8D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РЕСПУБЛИКА ТАТАРСТАН</w:t>
            </w:r>
          </w:p>
          <w:p w:rsidR="008B6B8D" w:rsidRPr="00C15C8D" w:rsidRDefault="008B6B8D" w:rsidP="008B6B8D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B6B8D" w:rsidRPr="00C15C8D" w:rsidRDefault="008B6B8D" w:rsidP="008B6B8D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С О В Е Т </w:t>
            </w:r>
          </w:p>
          <w:p w:rsidR="008B6B8D" w:rsidRPr="00C15C8D" w:rsidRDefault="008B6B8D" w:rsidP="008B6B8D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Нижнекамского муниципального района</w:t>
            </w:r>
          </w:p>
          <w:p w:rsidR="008B6B8D" w:rsidRPr="00C15C8D" w:rsidRDefault="008B6B8D" w:rsidP="008B6B8D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  <w:p w:rsidR="008B6B8D" w:rsidRPr="00C15C8D" w:rsidRDefault="008B6B8D" w:rsidP="008B6B8D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г.Нижнекамск, пр.Строителей,12</w:t>
            </w:r>
          </w:p>
          <w:p w:rsidR="008B6B8D" w:rsidRPr="00C15C8D" w:rsidRDefault="008B6B8D" w:rsidP="008B6B8D">
            <w:pPr>
              <w:contextualSpacing/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факс (8555) 41-70-00</w:t>
            </w:r>
          </w:p>
          <w:p w:rsidR="008B6B8D" w:rsidRPr="00C15C8D" w:rsidRDefault="008B6B8D" w:rsidP="008B6B8D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B6B8D" w:rsidRPr="00C15C8D" w:rsidRDefault="008B6B8D" w:rsidP="008B6B8D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 xml:space="preserve">ТАТАРСТАН РЕСПУБЛИКАСЫ </w:t>
            </w:r>
          </w:p>
          <w:p w:rsidR="008B6B8D" w:rsidRPr="00C15C8D" w:rsidRDefault="008B6B8D" w:rsidP="008B6B8D">
            <w:pPr>
              <w:contextualSpacing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B6B8D" w:rsidRPr="00C15C8D" w:rsidRDefault="008B6B8D" w:rsidP="008B6B8D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Түбән Кама муниципаль районы</w:t>
            </w:r>
          </w:p>
          <w:p w:rsidR="008B6B8D" w:rsidRPr="00C15C8D" w:rsidRDefault="008B6B8D" w:rsidP="008B6B8D">
            <w:pPr>
              <w:contextualSpacing/>
              <w:jc w:val="center"/>
              <w:rPr>
                <w:b/>
                <w:lang w:val="tt-RU"/>
              </w:rPr>
            </w:pPr>
            <w:r w:rsidRPr="00C15C8D">
              <w:rPr>
                <w:b/>
                <w:lang w:val="tt-RU"/>
              </w:rPr>
              <w:t>С О В Е Т Ы</w:t>
            </w:r>
          </w:p>
          <w:p w:rsidR="008B6B8D" w:rsidRPr="00C15C8D" w:rsidRDefault="008B6B8D" w:rsidP="008B6B8D">
            <w:pPr>
              <w:contextualSpacing/>
              <w:jc w:val="both"/>
              <w:rPr>
                <w:sz w:val="16"/>
                <w:szCs w:val="16"/>
                <w:lang w:val="tt-RU"/>
              </w:rPr>
            </w:pPr>
          </w:p>
          <w:p w:rsidR="008B6B8D" w:rsidRPr="00C15C8D" w:rsidRDefault="008B6B8D" w:rsidP="008B6B8D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8B6B8D" w:rsidRPr="00C15C8D" w:rsidRDefault="008B6B8D" w:rsidP="008B6B8D">
            <w:pPr>
              <w:contextualSpacing/>
              <w:jc w:val="center"/>
              <w:rPr>
                <w:sz w:val="20"/>
                <w:lang w:val="tt-RU"/>
              </w:rPr>
            </w:pPr>
            <w:r w:rsidRPr="00C15C8D">
              <w:rPr>
                <w:sz w:val="20"/>
                <w:lang w:val="tt-RU"/>
              </w:rPr>
              <w:t>фак</w:t>
            </w:r>
            <w:r>
              <w:rPr>
                <w:sz w:val="20"/>
                <w:lang w:val="tt-RU"/>
              </w:rPr>
              <w:t>с (8555) 41-70-00</w:t>
            </w:r>
          </w:p>
          <w:p w:rsidR="008B6B8D" w:rsidRPr="00C15C8D" w:rsidRDefault="008B6B8D" w:rsidP="008B6B8D">
            <w:pPr>
              <w:contextualSpacing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8B6B8D" w:rsidRPr="00F06D16" w:rsidTr="008B6B8D">
        <w:tc>
          <w:tcPr>
            <w:tcW w:w="549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B6B8D" w:rsidRPr="00C15C8D" w:rsidRDefault="008B6B8D" w:rsidP="008B6B8D">
            <w:pPr>
              <w:contextualSpacing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92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B6B8D" w:rsidRPr="00C15C8D" w:rsidRDefault="008B6B8D" w:rsidP="008B6B8D">
            <w:pPr>
              <w:contextualSpacing/>
              <w:jc w:val="center"/>
              <w:rPr>
                <w:b/>
                <w:lang w:val="tt-RU"/>
              </w:rPr>
            </w:pPr>
          </w:p>
        </w:tc>
      </w:tr>
      <w:tr w:rsidR="008B6B8D" w:rsidRPr="003A25D1" w:rsidTr="008B6B8D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8B6B8D" w:rsidRPr="00C15C8D" w:rsidRDefault="008B6B8D" w:rsidP="008B6B8D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B6B8D" w:rsidRPr="00C15C8D" w:rsidRDefault="008B6B8D" w:rsidP="008B6B8D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8B6B8D" w:rsidRPr="00C15C8D" w:rsidRDefault="008B6B8D" w:rsidP="008B6B8D">
            <w:pPr>
              <w:contextualSpacing/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8B6B8D" w:rsidRPr="003A25D1" w:rsidTr="008B6B8D">
        <w:trPr>
          <w:trHeight w:val="426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8B6B8D" w:rsidRPr="007A4576" w:rsidRDefault="008B6B8D" w:rsidP="008B6B8D">
            <w:pPr>
              <w:contextualSpacing/>
              <w:jc w:val="both"/>
              <w:rPr>
                <w:b/>
                <w:sz w:val="27"/>
                <w:szCs w:val="27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tt-RU"/>
              </w:rPr>
              <w:t xml:space="preserve"> 29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B6B8D" w:rsidRPr="00C15C8D" w:rsidRDefault="008B6B8D" w:rsidP="008B6B8D">
            <w:pPr>
              <w:contextualSpacing/>
              <w:jc w:val="right"/>
              <w:rPr>
                <w:b/>
                <w:sz w:val="27"/>
                <w:szCs w:val="27"/>
                <w:lang w:val="tt-RU"/>
              </w:rPr>
            </w:pPr>
            <w:r w:rsidRPr="00C15C8D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20 елның 13 ноябре</w:t>
            </w:r>
          </w:p>
        </w:tc>
      </w:tr>
    </w:tbl>
    <w:p w:rsidR="0031091E" w:rsidRPr="00126D75" w:rsidRDefault="0031091E" w:rsidP="008B6B8D">
      <w:pPr>
        <w:contextualSpacing/>
        <w:rPr>
          <w:i/>
        </w:rPr>
      </w:pPr>
    </w:p>
    <w:p w:rsidR="00C458C9" w:rsidRDefault="00C458C9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58C9">
        <w:rPr>
          <w:rFonts w:ascii="Times New Roman" w:hAnsi="Times New Roman" w:cs="Times New Roman"/>
          <w:b w:val="0"/>
          <w:sz w:val="28"/>
          <w:szCs w:val="28"/>
        </w:rPr>
        <w:t xml:space="preserve">Түбән Кама муниципаль районы Советының аерым карарларына үзгәрешләр </w:t>
      </w:r>
    </w:p>
    <w:p w:rsidR="00C458C9" w:rsidRDefault="00C458C9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58C9">
        <w:rPr>
          <w:rFonts w:ascii="Times New Roman" w:hAnsi="Times New Roman" w:cs="Times New Roman"/>
          <w:b w:val="0"/>
          <w:sz w:val="28"/>
          <w:szCs w:val="28"/>
        </w:rPr>
        <w:t xml:space="preserve">кертү һәм Түбән Кама муниципаль районы Советының 2018 елның 17 маенда </w:t>
      </w:r>
    </w:p>
    <w:p w:rsidR="00C458C9" w:rsidRDefault="00C458C9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58C9">
        <w:rPr>
          <w:rFonts w:ascii="Times New Roman" w:hAnsi="Times New Roman" w:cs="Times New Roman"/>
          <w:b w:val="0"/>
          <w:sz w:val="28"/>
          <w:szCs w:val="28"/>
        </w:rPr>
        <w:t>кабул ителгән 46 номерлы «Түбән Кама муниципаль районы</w:t>
      </w:r>
    </w:p>
    <w:p w:rsidR="00C458C9" w:rsidRDefault="00C458C9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58C9">
        <w:rPr>
          <w:rFonts w:ascii="Times New Roman" w:hAnsi="Times New Roman" w:cs="Times New Roman"/>
          <w:b w:val="0"/>
          <w:sz w:val="28"/>
          <w:szCs w:val="28"/>
        </w:rPr>
        <w:t xml:space="preserve"> Башкарма комитетының </w:t>
      </w:r>
      <w:r w:rsidR="00747A1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муниципаль хезмәт - </w:t>
      </w:r>
      <w:r w:rsidRPr="00C458C9">
        <w:rPr>
          <w:rFonts w:ascii="Times New Roman" w:hAnsi="Times New Roman" w:cs="Times New Roman"/>
          <w:b w:val="0"/>
          <w:sz w:val="28"/>
          <w:szCs w:val="28"/>
        </w:rPr>
        <w:t>төзелеш һә</w:t>
      </w:r>
      <w:r w:rsidR="00747A12">
        <w:rPr>
          <w:rFonts w:ascii="Times New Roman" w:hAnsi="Times New Roman" w:cs="Times New Roman"/>
          <w:b w:val="0"/>
          <w:sz w:val="28"/>
          <w:szCs w:val="28"/>
        </w:rPr>
        <w:t>м архитектура идарәсе башлыгы</w:t>
      </w:r>
      <w:r w:rsidRPr="00C458C9">
        <w:rPr>
          <w:rFonts w:ascii="Times New Roman" w:hAnsi="Times New Roman" w:cs="Times New Roman"/>
          <w:b w:val="0"/>
          <w:sz w:val="28"/>
          <w:szCs w:val="28"/>
        </w:rPr>
        <w:t xml:space="preserve"> вазыйфасын биләүгә конкурс турынд</w:t>
      </w:r>
      <w:r w:rsidR="00747A12">
        <w:rPr>
          <w:rFonts w:ascii="Times New Roman" w:hAnsi="Times New Roman" w:cs="Times New Roman"/>
          <w:b w:val="0"/>
          <w:sz w:val="28"/>
          <w:szCs w:val="28"/>
        </w:rPr>
        <w:t>агы Н</w:t>
      </w:r>
      <w:r>
        <w:rPr>
          <w:rFonts w:ascii="Times New Roman" w:hAnsi="Times New Roman" w:cs="Times New Roman"/>
          <w:b w:val="0"/>
          <w:sz w:val="28"/>
          <w:szCs w:val="28"/>
        </w:rPr>
        <w:t>игезләмәне раслау хакында»</w:t>
      </w:r>
      <w:r w:rsidRPr="00C458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458C9" w:rsidRPr="00C925BF" w:rsidRDefault="00C458C9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58C9">
        <w:rPr>
          <w:rFonts w:ascii="Times New Roman" w:hAnsi="Times New Roman" w:cs="Times New Roman"/>
          <w:b w:val="0"/>
          <w:sz w:val="28"/>
          <w:szCs w:val="28"/>
        </w:rPr>
        <w:t xml:space="preserve">карарын үз </w:t>
      </w:r>
      <w:r>
        <w:rPr>
          <w:rFonts w:ascii="Times New Roman" w:hAnsi="Times New Roman" w:cs="Times New Roman"/>
          <w:b w:val="0"/>
          <w:sz w:val="28"/>
          <w:szCs w:val="28"/>
        </w:rPr>
        <w:t>көчен югалткан дип тану турында</w:t>
      </w:r>
    </w:p>
    <w:p w:rsidR="00B74015" w:rsidRPr="00C925BF" w:rsidRDefault="00B74015" w:rsidP="00B74015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E35E7" w:rsidRPr="00C925BF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58C9" w:rsidRPr="00C925BF" w:rsidRDefault="00C458C9" w:rsidP="00167CF1">
      <w:pPr>
        <w:ind w:firstLine="851"/>
        <w:contextualSpacing/>
        <w:jc w:val="both"/>
        <w:rPr>
          <w:sz w:val="28"/>
          <w:szCs w:val="28"/>
        </w:rPr>
      </w:pPr>
      <w:r w:rsidRPr="00C458C9">
        <w:rPr>
          <w:sz w:val="28"/>
          <w:szCs w:val="28"/>
        </w:rPr>
        <w:t xml:space="preserve"> «Россия Федерацияс</w:t>
      </w:r>
      <w:r>
        <w:rPr>
          <w:sz w:val="28"/>
          <w:szCs w:val="28"/>
        </w:rPr>
        <w:t>ендә муниципаль хезмәт турында»</w:t>
      </w:r>
      <w:r w:rsidRPr="00C458C9">
        <w:rPr>
          <w:sz w:val="28"/>
          <w:szCs w:val="28"/>
        </w:rPr>
        <w:t xml:space="preserve"> 2007 елның </w:t>
      </w:r>
      <w:r w:rsidR="008B6B8D">
        <w:rPr>
          <w:sz w:val="28"/>
          <w:szCs w:val="28"/>
        </w:rPr>
        <w:t xml:space="preserve">                             </w:t>
      </w:r>
      <w:r w:rsidRPr="00C458C9">
        <w:rPr>
          <w:sz w:val="28"/>
          <w:szCs w:val="28"/>
        </w:rPr>
        <w:t xml:space="preserve">2 мартындагы 25-ФЗ номерлы Федераль закон, </w:t>
      </w:r>
      <w:r>
        <w:rPr>
          <w:sz w:val="28"/>
          <w:szCs w:val="28"/>
        </w:rPr>
        <w:t>м</w:t>
      </w:r>
      <w:r w:rsidRPr="00C458C9">
        <w:rPr>
          <w:sz w:val="28"/>
          <w:szCs w:val="28"/>
        </w:rPr>
        <w:t>униципаль хезмәт турында</w:t>
      </w:r>
      <w:r w:rsidRPr="00C458C9">
        <w:rPr>
          <w:sz w:val="28"/>
          <w:szCs w:val="28"/>
          <w:lang w:val="tt-RU"/>
        </w:rPr>
        <w:t xml:space="preserve"> </w:t>
      </w:r>
      <w:r w:rsidR="008B6B8D">
        <w:rPr>
          <w:sz w:val="28"/>
          <w:szCs w:val="28"/>
          <w:lang w:val="tt-RU"/>
        </w:rPr>
        <w:t xml:space="preserve">                     </w:t>
      </w:r>
      <w:r w:rsidRPr="00C458C9">
        <w:rPr>
          <w:sz w:val="28"/>
          <w:szCs w:val="28"/>
        </w:rPr>
        <w:t xml:space="preserve">2013 елның 25 июнендәге 50-ТРЗ </w:t>
      </w:r>
      <w:r>
        <w:rPr>
          <w:sz w:val="28"/>
          <w:szCs w:val="28"/>
        </w:rPr>
        <w:t>номерлы Татарстан Республикасы К</w:t>
      </w:r>
      <w:r w:rsidRPr="00C458C9">
        <w:rPr>
          <w:sz w:val="28"/>
          <w:szCs w:val="28"/>
        </w:rPr>
        <w:t>одексы</w:t>
      </w:r>
      <w:r>
        <w:rPr>
          <w:sz w:val="28"/>
          <w:szCs w:val="28"/>
          <w:lang w:val="tt-RU"/>
        </w:rPr>
        <w:t xml:space="preserve"> нигезендә</w:t>
      </w:r>
      <w:r w:rsidRPr="00C458C9">
        <w:rPr>
          <w:sz w:val="28"/>
          <w:szCs w:val="28"/>
        </w:rPr>
        <w:t>, Түбән Кама муниципаль районы Советы</w:t>
      </w:r>
    </w:p>
    <w:p w:rsidR="008C2604" w:rsidRPr="00C925BF" w:rsidRDefault="008C2604" w:rsidP="00167CF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C925BF" w:rsidRDefault="004B14C7" w:rsidP="00167CF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25BF">
        <w:rPr>
          <w:rFonts w:ascii="Times New Roman" w:hAnsi="Times New Roman" w:cs="Times New Roman"/>
          <w:sz w:val="28"/>
          <w:szCs w:val="28"/>
        </w:rPr>
        <w:t xml:space="preserve"> </w:t>
      </w:r>
      <w:r w:rsidR="00C458C9">
        <w:rPr>
          <w:rFonts w:ascii="Times New Roman" w:hAnsi="Times New Roman" w:cs="Times New Roman"/>
          <w:sz w:val="28"/>
          <w:szCs w:val="28"/>
        </w:rPr>
        <w:t>КАРАР БИРӘ</w:t>
      </w:r>
      <w:r w:rsidR="005E35E7" w:rsidRPr="00C925BF">
        <w:rPr>
          <w:rFonts w:ascii="Times New Roman" w:hAnsi="Times New Roman" w:cs="Times New Roman"/>
          <w:sz w:val="28"/>
          <w:szCs w:val="28"/>
        </w:rPr>
        <w:t>:</w:t>
      </w:r>
    </w:p>
    <w:p w:rsidR="0031091E" w:rsidRPr="00C925BF" w:rsidRDefault="0031091E" w:rsidP="00167CF1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7CF1" w:rsidRPr="003A73BF" w:rsidRDefault="00747A12" w:rsidP="00747A12">
      <w:pPr>
        <w:pStyle w:val="ConsPlusTitle"/>
        <w:widowControl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1. </w:t>
      </w:r>
      <w:r w:rsidR="00C458C9" w:rsidRPr="003A73B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Түбән Кама муниципаль районы Советының 2006 елның 13 октябрендәге </w:t>
      </w:r>
      <w:r w:rsidR="008B6B8D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        </w:t>
      </w:r>
      <w:r w:rsidR="00C458C9" w:rsidRPr="003A73B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50 номерлы карары белән расланган Татарстан Республикасы «Түбән Кама муниципаль районы» муниципаль берәмлегендә муниципаль хезмәтнең вакантлы </w:t>
      </w:r>
      <w:r w:rsidR="00C458C9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муниципаль </w:t>
      </w:r>
      <w:r w:rsidR="00C458C9" w:rsidRPr="003A73BF">
        <w:rPr>
          <w:rFonts w:ascii="Times New Roman" w:hAnsi="Times New Roman" w:cs="Times New Roman"/>
          <w:b w:val="0"/>
          <w:sz w:val="28"/>
          <w:szCs w:val="28"/>
          <w:lang w:val="tt-RU"/>
        </w:rPr>
        <w:t>вазыйфаны биләүгә конкурс турындагы Нигезләмәгә тү</w:t>
      </w:r>
      <w:r w:rsidR="003A73BF" w:rsidRPr="003A73BF">
        <w:rPr>
          <w:rFonts w:ascii="Times New Roman" w:hAnsi="Times New Roman" w:cs="Times New Roman"/>
          <w:b w:val="0"/>
          <w:sz w:val="28"/>
          <w:szCs w:val="28"/>
          <w:lang w:val="tt-RU"/>
        </w:rPr>
        <w:t>бәндәге үзгәрешләр</w:t>
      </w:r>
      <w:r w:rsidR="00C458C9" w:rsidRPr="003A73BF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кертергә: </w:t>
      </w:r>
    </w:p>
    <w:p w:rsidR="00C458C9" w:rsidRPr="007832F6" w:rsidRDefault="00C458C9" w:rsidP="00C458C9">
      <w:pPr>
        <w:pStyle w:val="ConsPlusTitle"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>5 пункт үз көчен югалткан дип танырга;</w:t>
      </w:r>
    </w:p>
    <w:p w:rsidR="00C458C9" w:rsidRPr="00747A12" w:rsidRDefault="00C458C9" w:rsidP="00C458C9">
      <w:pPr>
        <w:pStyle w:val="ConsPlusTitle"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>9 пунктны түбәндәге редакциядә бәян итәргә</w:t>
      </w:r>
      <w:r w:rsidR="00747A12">
        <w:rPr>
          <w:rFonts w:ascii="Times New Roman" w:hAnsi="Times New Roman" w:cs="Times New Roman"/>
          <w:b w:val="0"/>
          <w:sz w:val="28"/>
          <w:szCs w:val="28"/>
          <w:lang w:val="tt-RU"/>
        </w:rPr>
        <w:t>:</w:t>
      </w:r>
      <w:r w:rsidR="00747A12"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«</w:t>
      </w:r>
      <w:r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9. Конкурста катнашырга теләүче затлар конкурс комиссиясенә гариза тапшыра, аңа «Россия Федерациясендә муниципаль хезмәт турында» 2007 елның 2 мартындагы 25-ФЗ номерлы Федераль законның </w:t>
      </w:r>
      <w:r w:rsid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              </w:t>
      </w:r>
      <w:r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16 статьясындагы 3 пунктында, муниципаль хезмәт турында 2013 елның </w:t>
      </w:r>
      <w:r w:rsidR="008B6B8D"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  </w:t>
      </w:r>
      <w:r w:rsid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                </w:t>
      </w:r>
      <w:r w:rsidR="008B6B8D"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</w:t>
      </w:r>
      <w:r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25 июнендәге 50-ТРЗ номерлы Татарстан Республикасы </w:t>
      </w:r>
      <w:r w:rsidR="00747A12">
        <w:rPr>
          <w:rFonts w:ascii="Times New Roman" w:hAnsi="Times New Roman" w:cs="Times New Roman"/>
          <w:b w:val="0"/>
          <w:sz w:val="28"/>
          <w:szCs w:val="28"/>
          <w:lang w:val="tt-RU"/>
        </w:rPr>
        <w:t>К</w:t>
      </w:r>
      <w:r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одексының </w:t>
      </w:r>
      <w:r w:rsidR="008B6B8D"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                           </w:t>
      </w:r>
      <w:r w:rsid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</w:t>
      </w:r>
      <w:r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>19 статьясындагы 3 пунктында күрсәтелгән документлар беркетелергә тиеш.»</w:t>
      </w:r>
      <w:r w:rsidR="00747A12">
        <w:rPr>
          <w:rFonts w:ascii="Times New Roman" w:hAnsi="Times New Roman" w:cs="Times New Roman"/>
          <w:b w:val="0"/>
          <w:sz w:val="28"/>
          <w:szCs w:val="28"/>
          <w:lang w:val="tt-RU"/>
        </w:rPr>
        <w:t>.</w:t>
      </w:r>
    </w:p>
    <w:p w:rsidR="00B74015" w:rsidRPr="00747A12" w:rsidRDefault="00747A12" w:rsidP="00747A12">
      <w:pPr>
        <w:pStyle w:val="ConsPlusTitle"/>
        <w:widowControl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</w:t>
      </w:r>
      <w:r w:rsidR="00C458C9"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2. Түбән Кама муниципаль районы Советының 2016 елның 21 мартындагы </w:t>
      </w:r>
      <w:r w:rsidR="008B6B8D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               </w:t>
      </w:r>
      <w:r w:rsidR="00C458C9"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>12 номерлы карары белән расланган Татарстан Республикасы Т</w:t>
      </w:r>
      <w:r w:rsidR="003A73BF">
        <w:rPr>
          <w:rFonts w:ascii="Times New Roman" w:hAnsi="Times New Roman" w:cs="Times New Roman"/>
          <w:b w:val="0"/>
          <w:sz w:val="28"/>
          <w:szCs w:val="28"/>
          <w:lang w:val="tt-RU"/>
        </w:rPr>
        <w:t>үбән Кама муниципаль районында муниципаль хезмәт турындагы Н</w:t>
      </w:r>
      <w:r w:rsidR="00C458C9"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>и</w:t>
      </w:r>
      <w:r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>гезләмәгә түбәндәге үзгәрешләр кертергә:</w:t>
      </w:r>
    </w:p>
    <w:p w:rsidR="00C458C9" w:rsidRPr="00747A12" w:rsidRDefault="00747A12" w:rsidP="00C458C9">
      <w:pPr>
        <w:pStyle w:val="ConsPlusTitle"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>2.1 пунктында «</w:t>
      </w:r>
      <w:r w:rsidR="00C458C9"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әлеге Нигезләмә белән җайга салынмаган өлешендә» сүзләреннән соң «Түбән Кама муниципаль районы </w:t>
      </w:r>
      <w:r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Советының башка карарлары белән» сүзләрен </w:t>
      </w:r>
      <w:r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lastRenderedPageBreak/>
        <w:t>өстәргә</w:t>
      </w:r>
      <w:r w:rsidR="00C458C9"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>;</w:t>
      </w:r>
    </w:p>
    <w:p w:rsidR="00C458C9" w:rsidRPr="00C458C9" w:rsidRDefault="00C458C9" w:rsidP="00C458C9">
      <w:pPr>
        <w:pStyle w:val="ConsPlusTitle"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16.5 пунктын түбәндәге редакциядә бәян итәргә: «16.5. </w:t>
      </w:r>
      <w:r w:rsidRPr="00C458C9">
        <w:rPr>
          <w:rFonts w:ascii="Times New Roman" w:hAnsi="Times New Roman" w:cs="Times New Roman"/>
          <w:b w:val="0"/>
          <w:sz w:val="28"/>
          <w:szCs w:val="28"/>
        </w:rPr>
        <w:t>Конкурсны үткәрү тәртибе һәм шартлары Россия Федерациясе, Татарстан Республикасы законнары нигезендә Түбән Кама муниципаль районы Советы карары белән билгеләнә.»;</w:t>
      </w:r>
    </w:p>
    <w:p w:rsidR="00C458C9" w:rsidRPr="00C925BF" w:rsidRDefault="00747A12" w:rsidP="00C458C9">
      <w:pPr>
        <w:pStyle w:val="ConsPlusTitle"/>
        <w:widowControl/>
        <w:tabs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17.6 пунктын </w:t>
      </w:r>
      <w:r w:rsidR="00C458C9" w:rsidRPr="00C458C9">
        <w:rPr>
          <w:rFonts w:ascii="Times New Roman" w:hAnsi="Times New Roman" w:cs="Times New Roman"/>
          <w:b w:val="0"/>
          <w:sz w:val="28"/>
          <w:szCs w:val="28"/>
        </w:rPr>
        <w:t>түбән</w:t>
      </w:r>
      <w:r>
        <w:rPr>
          <w:rFonts w:ascii="Times New Roman" w:hAnsi="Times New Roman" w:cs="Times New Roman"/>
          <w:b w:val="0"/>
          <w:sz w:val="28"/>
          <w:szCs w:val="28"/>
        </w:rPr>
        <w:t>дәге редакциядә бәян итәргә «17.6 М</w:t>
      </w:r>
      <w:r w:rsidR="00C458C9" w:rsidRPr="00C458C9">
        <w:rPr>
          <w:rFonts w:ascii="Times New Roman" w:hAnsi="Times New Roman" w:cs="Times New Roman"/>
          <w:b w:val="0"/>
          <w:sz w:val="28"/>
          <w:szCs w:val="28"/>
        </w:rPr>
        <w:t>униципаль хезмәткәрләрне аттестациялә</w:t>
      </w:r>
      <w:r>
        <w:rPr>
          <w:rFonts w:ascii="Times New Roman" w:hAnsi="Times New Roman" w:cs="Times New Roman"/>
          <w:b w:val="0"/>
          <w:sz w:val="28"/>
          <w:szCs w:val="28"/>
        </w:rPr>
        <w:t>ү Түбән Кама муниципаль районы Б</w:t>
      </w:r>
      <w:r w:rsidR="00C458C9" w:rsidRPr="00C458C9">
        <w:rPr>
          <w:rFonts w:ascii="Times New Roman" w:hAnsi="Times New Roman" w:cs="Times New Roman"/>
          <w:b w:val="0"/>
          <w:sz w:val="28"/>
          <w:szCs w:val="28"/>
        </w:rPr>
        <w:t>ашлыгы билгеләгән тәртиптә гамәлгә ашырыла.».</w:t>
      </w:r>
    </w:p>
    <w:p w:rsidR="00B74015" w:rsidRPr="00747A12" w:rsidRDefault="00747A12" w:rsidP="00747A12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3. </w:t>
      </w:r>
      <w:r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>Түбән Кама муниципаль районы Советының 2018 елның 17 маенда кабул ителгән 46 номерлы «Түбән Кама муниципаль районы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</w:t>
      </w:r>
      <w:r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Башкарма комитетының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муниципаль хезмәт - </w:t>
      </w:r>
      <w:r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>төзелеш һ</w:t>
      </w:r>
      <w:bookmarkStart w:id="0" w:name="_GoBack"/>
      <w:bookmarkEnd w:id="0"/>
      <w:r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>әм архитектура ида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рәсе башлыгы</w:t>
      </w:r>
      <w:r w:rsidRPr="00747A1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вазыйфасын биләүгә конкурс турындагы нигезләмәне раслау хакында» карарын үз көчен югалткан дип танырга.</w:t>
      </w:r>
    </w:p>
    <w:p w:rsidR="005E35E7" w:rsidRPr="007832F6" w:rsidRDefault="00747A12" w:rsidP="00747A12">
      <w:pPr>
        <w:pStyle w:val="ConsPlusTitle"/>
        <w:widowControl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</w:t>
      </w:r>
      <w:r w:rsidRPr="007832F6">
        <w:rPr>
          <w:rFonts w:ascii="Times New Roman" w:hAnsi="Times New Roman" w:cs="Times New Roman"/>
          <w:b w:val="0"/>
          <w:sz w:val="28"/>
          <w:szCs w:val="28"/>
          <w:lang w:val="tt-RU"/>
        </w:rPr>
        <w:t>4. Әлеге карарның үтәлешен контрольдә тотуны Түбән Кама муниципаль районы Башлыгы урынбасары Т.Р. Гәрәевка йөкләргә.</w:t>
      </w:r>
    </w:p>
    <w:p w:rsidR="005E35E7" w:rsidRPr="007832F6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091E" w:rsidRPr="007832F6" w:rsidRDefault="0031091E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B14C7" w:rsidRPr="007832F6" w:rsidRDefault="004B14C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1091E" w:rsidRPr="00C925BF" w:rsidRDefault="00747A12" w:rsidP="00167CF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Түбән Кама муниципаль</w:t>
      </w:r>
    </w:p>
    <w:p w:rsidR="0031091E" w:rsidRPr="00C925BF" w:rsidRDefault="00747A12" w:rsidP="00167CF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районы</w:t>
      </w:r>
      <w:r w:rsidR="0031091E" w:rsidRPr="00C925BF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Башлыгы</w:t>
      </w:r>
      <w:r w:rsidR="0031091E" w:rsidRPr="00C925BF">
        <w:rPr>
          <w:sz w:val="28"/>
          <w:szCs w:val="28"/>
        </w:rPr>
        <w:t xml:space="preserve">                                                           </w:t>
      </w:r>
      <w:r w:rsidR="00B74D60" w:rsidRPr="00C925BF">
        <w:rPr>
          <w:sz w:val="28"/>
          <w:szCs w:val="28"/>
        </w:rPr>
        <w:t xml:space="preserve">         </w:t>
      </w:r>
      <w:r w:rsidR="008343D9" w:rsidRPr="00C925BF">
        <w:rPr>
          <w:sz w:val="28"/>
          <w:szCs w:val="28"/>
        </w:rPr>
        <w:t xml:space="preserve">     </w:t>
      </w:r>
      <w:r w:rsidR="00B74D60" w:rsidRPr="00C925BF">
        <w:rPr>
          <w:sz w:val="28"/>
          <w:szCs w:val="28"/>
        </w:rPr>
        <w:t xml:space="preserve">  </w:t>
      </w:r>
      <w:r w:rsidR="00167CF1" w:rsidRPr="00C925BF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     </w:t>
      </w:r>
      <w:r w:rsidR="00167CF1" w:rsidRPr="00C925BF">
        <w:rPr>
          <w:sz w:val="28"/>
          <w:szCs w:val="28"/>
        </w:rPr>
        <w:t xml:space="preserve"> </w:t>
      </w:r>
      <w:r w:rsidR="0031091E" w:rsidRPr="00C925BF">
        <w:rPr>
          <w:sz w:val="28"/>
          <w:szCs w:val="28"/>
        </w:rPr>
        <w:t xml:space="preserve">    </w:t>
      </w:r>
      <w:r w:rsidR="00B8045B">
        <w:rPr>
          <w:sz w:val="28"/>
          <w:szCs w:val="28"/>
        </w:rPr>
        <w:t xml:space="preserve">        </w:t>
      </w:r>
      <w:r w:rsidR="00C925BF">
        <w:rPr>
          <w:sz w:val="28"/>
          <w:szCs w:val="28"/>
        </w:rPr>
        <w:t xml:space="preserve">    </w:t>
      </w:r>
      <w:r w:rsidR="00A156CA" w:rsidRPr="00C925BF">
        <w:rPr>
          <w:sz w:val="28"/>
          <w:szCs w:val="28"/>
        </w:rPr>
        <w:t>А.Р.</w:t>
      </w:r>
      <w:r w:rsidR="0031091E" w:rsidRPr="00C925BF">
        <w:rPr>
          <w:sz w:val="28"/>
          <w:szCs w:val="28"/>
        </w:rPr>
        <w:t>Метшин</w:t>
      </w:r>
    </w:p>
    <w:p w:rsidR="005E35E7" w:rsidRPr="00C925BF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F8288A" w:rsidRDefault="005E35E7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E2E32" w:rsidRPr="00F8288A" w:rsidRDefault="004E2E32" w:rsidP="00167CF1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4E2E32" w:rsidRPr="00F8288A" w:rsidSect="00C925BF">
      <w:footerReference w:type="default" r:id="rId8"/>
      <w:pgSz w:w="12240" w:h="15840"/>
      <w:pgMar w:top="1134" w:right="616" w:bottom="993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56D" w:rsidRDefault="00A0556D" w:rsidP="00167CF1">
      <w:r>
        <w:separator/>
      </w:r>
    </w:p>
  </w:endnote>
  <w:endnote w:type="continuationSeparator" w:id="0">
    <w:p w:rsidR="00A0556D" w:rsidRDefault="00A0556D" w:rsidP="0016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41" w:rsidRDefault="00872C4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32F6">
      <w:rPr>
        <w:noProof/>
      </w:rPr>
      <w:t>2</w:t>
    </w:r>
    <w:r>
      <w:fldChar w:fldCharType="end"/>
    </w:r>
  </w:p>
  <w:p w:rsidR="00872C41" w:rsidRDefault="00872C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56D" w:rsidRDefault="00A0556D" w:rsidP="00167CF1">
      <w:r>
        <w:separator/>
      </w:r>
    </w:p>
  </w:footnote>
  <w:footnote w:type="continuationSeparator" w:id="0">
    <w:p w:rsidR="00A0556D" w:rsidRDefault="00A0556D" w:rsidP="0016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8368F"/>
    <w:multiLevelType w:val="hybridMultilevel"/>
    <w:tmpl w:val="967C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45C1F"/>
    <w:multiLevelType w:val="hybridMultilevel"/>
    <w:tmpl w:val="71A89A2C"/>
    <w:lvl w:ilvl="0" w:tplc="9E56E11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5E7"/>
    <w:rsid w:val="000611AC"/>
    <w:rsid w:val="000740C6"/>
    <w:rsid w:val="000E4321"/>
    <w:rsid w:val="00117052"/>
    <w:rsid w:val="0015057F"/>
    <w:rsid w:val="0016105D"/>
    <w:rsid w:val="00167BF5"/>
    <w:rsid w:val="00167CF1"/>
    <w:rsid w:val="001B26C8"/>
    <w:rsid w:val="001E0147"/>
    <w:rsid w:val="001F5EB6"/>
    <w:rsid w:val="00255E30"/>
    <w:rsid w:val="00273FA4"/>
    <w:rsid w:val="002845ED"/>
    <w:rsid w:val="002A19E4"/>
    <w:rsid w:val="002C7CAC"/>
    <w:rsid w:val="002F2E41"/>
    <w:rsid w:val="0031091E"/>
    <w:rsid w:val="00320214"/>
    <w:rsid w:val="003A73BF"/>
    <w:rsid w:val="003D49F6"/>
    <w:rsid w:val="00441A84"/>
    <w:rsid w:val="004B1110"/>
    <w:rsid w:val="004B14C7"/>
    <w:rsid w:val="004E2E32"/>
    <w:rsid w:val="004E6027"/>
    <w:rsid w:val="0052319F"/>
    <w:rsid w:val="00524D21"/>
    <w:rsid w:val="00591CF9"/>
    <w:rsid w:val="005E35E7"/>
    <w:rsid w:val="0060243A"/>
    <w:rsid w:val="00680928"/>
    <w:rsid w:val="00706076"/>
    <w:rsid w:val="007227D6"/>
    <w:rsid w:val="00740375"/>
    <w:rsid w:val="00747A12"/>
    <w:rsid w:val="007832F6"/>
    <w:rsid w:val="00797866"/>
    <w:rsid w:val="007C4220"/>
    <w:rsid w:val="008343D9"/>
    <w:rsid w:val="00843D1F"/>
    <w:rsid w:val="00872C41"/>
    <w:rsid w:val="00896A92"/>
    <w:rsid w:val="008B6B8D"/>
    <w:rsid w:val="008C2604"/>
    <w:rsid w:val="008F3B20"/>
    <w:rsid w:val="00906C87"/>
    <w:rsid w:val="00932A69"/>
    <w:rsid w:val="0093408C"/>
    <w:rsid w:val="00985165"/>
    <w:rsid w:val="00A036F2"/>
    <w:rsid w:val="00A053B0"/>
    <w:rsid w:val="00A0556D"/>
    <w:rsid w:val="00A156CA"/>
    <w:rsid w:val="00AA5782"/>
    <w:rsid w:val="00AC1954"/>
    <w:rsid w:val="00B13239"/>
    <w:rsid w:val="00B56868"/>
    <w:rsid w:val="00B74015"/>
    <w:rsid w:val="00B74D60"/>
    <w:rsid w:val="00B8045B"/>
    <w:rsid w:val="00B81EBE"/>
    <w:rsid w:val="00BA01A3"/>
    <w:rsid w:val="00BB642A"/>
    <w:rsid w:val="00BE1346"/>
    <w:rsid w:val="00C032B4"/>
    <w:rsid w:val="00C458C9"/>
    <w:rsid w:val="00C55D18"/>
    <w:rsid w:val="00C925BF"/>
    <w:rsid w:val="00CA7383"/>
    <w:rsid w:val="00CC4EC5"/>
    <w:rsid w:val="00CE572E"/>
    <w:rsid w:val="00D26FDF"/>
    <w:rsid w:val="00D42376"/>
    <w:rsid w:val="00DC0CE3"/>
    <w:rsid w:val="00E03D04"/>
    <w:rsid w:val="00E43E4C"/>
    <w:rsid w:val="00E73B29"/>
    <w:rsid w:val="00E81D3E"/>
    <w:rsid w:val="00EC3829"/>
    <w:rsid w:val="00F55BF8"/>
    <w:rsid w:val="00F62406"/>
    <w:rsid w:val="00F8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E18C9"/>
  <w15:chartTrackingRefBased/>
  <w15:docId w15:val="{28A39B7D-C775-473E-9254-D6679BE1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5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E35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E35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E35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rsid w:val="00167C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67CF1"/>
    <w:rPr>
      <w:sz w:val="24"/>
      <w:szCs w:val="24"/>
    </w:rPr>
  </w:style>
  <w:style w:type="paragraph" w:styleId="a5">
    <w:name w:val="footer"/>
    <w:basedOn w:val="a"/>
    <w:link w:val="a6"/>
    <w:uiPriority w:val="99"/>
    <w:rsid w:val="00167C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67CF1"/>
    <w:rPr>
      <w:sz w:val="24"/>
      <w:szCs w:val="24"/>
    </w:rPr>
  </w:style>
  <w:style w:type="paragraph" w:styleId="a7">
    <w:name w:val="Balloon Text"/>
    <w:basedOn w:val="a"/>
    <w:link w:val="a8"/>
    <w:rsid w:val="00255E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55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8E09-88CA-40CA-A718-7C2A5CEF2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 МУНИЦИПАЛЬНОГО ОБРАЗОВАНИЯ</vt:lpstr>
    </vt:vector>
  </TitlesOfParts>
  <Company>Organization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 МУНИЦИПАЛЬНОГО ОБРАЗОВАНИЯ</dc:title>
  <dc:subject/>
  <dc:creator>User</dc:creator>
  <cp:keywords/>
  <cp:lastModifiedBy>204-Галиева</cp:lastModifiedBy>
  <cp:revision>3</cp:revision>
  <cp:lastPrinted>2020-10-19T10:47:00Z</cp:lastPrinted>
  <dcterms:created xsi:type="dcterms:W3CDTF">2020-11-17T07:05:00Z</dcterms:created>
  <dcterms:modified xsi:type="dcterms:W3CDTF">2020-11-17T07:06:00Z</dcterms:modified>
</cp:coreProperties>
</file>